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1BFC5" w14:textId="50B4A8C3" w:rsidR="00B777B0" w:rsidRDefault="00453B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Nigerian Naira Risk-free spot rate curve for </w:t>
      </w:r>
      <w:r w:rsidR="002E6460">
        <w:rPr>
          <w:b/>
          <w:sz w:val="32"/>
          <w:szCs w:val="32"/>
        </w:rPr>
        <w:t>April</w:t>
      </w:r>
      <w:r w:rsidR="00A5547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2024</w:t>
      </w:r>
    </w:p>
    <w:p w14:paraId="5051BFC6" w14:textId="77777777" w:rsidR="00B777B0" w:rsidRDefault="00B777B0">
      <w:pPr>
        <w:jc w:val="both"/>
      </w:pPr>
    </w:p>
    <w:p w14:paraId="5051BFC7" w14:textId="23AD76D6" w:rsidR="00B777B0" w:rsidRDefault="00453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This document sets out the specifics of the methodology used for the calculation of the risk-free spot rate curve as at </w:t>
      </w:r>
      <w:r w:rsidR="001E714D">
        <w:rPr>
          <w:color w:val="000000"/>
        </w:rPr>
        <w:t xml:space="preserve">30 April </w:t>
      </w:r>
      <w:r>
        <w:rPr>
          <w:color w:val="000000"/>
        </w:rPr>
        <w:t>2024.</w:t>
      </w:r>
    </w:p>
    <w:p w14:paraId="5051BFC8" w14:textId="77777777" w:rsidR="00B777B0" w:rsidRDefault="00B777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B90F81E" w14:textId="74F0325E" w:rsidR="00E80AE9" w:rsidRDefault="00453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During the month, the DMO issuances were as shown in the table below </w:t>
      </w:r>
    </w:p>
    <w:p w14:paraId="77BBC4D5" w14:textId="77777777" w:rsidR="001E714D" w:rsidRDefault="001E71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8823" w:type="dxa"/>
        <w:tblLook w:val="04A0" w:firstRow="1" w:lastRow="0" w:firstColumn="1" w:lastColumn="0" w:noHBand="0" w:noVBand="1"/>
      </w:tblPr>
      <w:tblGrid>
        <w:gridCol w:w="2538"/>
        <w:gridCol w:w="2375"/>
        <w:gridCol w:w="2118"/>
        <w:gridCol w:w="1792"/>
      </w:tblGrid>
      <w:tr w:rsidR="001E714D" w:rsidRPr="001E714D" w14:paraId="62C378AC" w14:textId="77777777" w:rsidTr="001E714D">
        <w:trPr>
          <w:trHeight w:val="592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1D326C"/>
            <w:vAlign w:val="center"/>
            <w:hideMark/>
          </w:tcPr>
          <w:p w14:paraId="2672DE10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FFFFFF"/>
              </w:rPr>
              <w:t>Bond Name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D326C"/>
            <w:vAlign w:val="center"/>
            <w:hideMark/>
          </w:tcPr>
          <w:p w14:paraId="1FBDC56F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FFFFFF"/>
              </w:rPr>
              <w:t>Subscription Amount (N’bn)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D326C"/>
            <w:vAlign w:val="center"/>
            <w:hideMark/>
          </w:tcPr>
          <w:p w14:paraId="4E4C00F3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FFFFFF"/>
              </w:rPr>
              <w:t>Allocated Amount (N’bn)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D326C"/>
            <w:vAlign w:val="center"/>
            <w:hideMark/>
          </w:tcPr>
          <w:p w14:paraId="54CD4B02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FFFFFF"/>
              </w:rPr>
              <w:t>Marginal rates</w:t>
            </w:r>
          </w:p>
        </w:tc>
      </w:tr>
      <w:tr w:rsidR="001E714D" w:rsidRPr="001E714D" w14:paraId="42421D63" w14:textId="77777777" w:rsidTr="001E714D">
        <w:trPr>
          <w:trHeight w:val="300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93C5E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>19.30% APR 2029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D2D8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239.54 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6323" w14:textId="77777777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79.92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E182D" w14:textId="77777777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19.30 </w:t>
            </w:r>
          </w:p>
        </w:tc>
      </w:tr>
      <w:tr w:rsidR="001E714D" w:rsidRPr="001E714D" w14:paraId="47B4A8C4" w14:textId="77777777" w:rsidTr="001E714D">
        <w:trPr>
          <w:trHeight w:val="300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2ACA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>18.50% FEB 2031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C80B2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129.72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1E324" w14:textId="77777777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85.05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39193" w14:textId="77777777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19.75 </w:t>
            </w:r>
          </w:p>
        </w:tc>
      </w:tr>
      <w:tr w:rsidR="001E714D" w:rsidRPr="001E714D" w14:paraId="682688CD" w14:textId="77777777" w:rsidTr="001E714D">
        <w:trPr>
          <w:trHeight w:val="300"/>
        </w:trPr>
        <w:tc>
          <w:tcPr>
            <w:tcW w:w="253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447C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>19.00% FEB 2034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4EB8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550.83 </w:t>
            </w:r>
          </w:p>
        </w:tc>
        <w:tc>
          <w:tcPr>
            <w:tcW w:w="21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BC47B" w14:textId="77777777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461.85 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8225" w14:textId="77777777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20.00 </w:t>
            </w:r>
          </w:p>
        </w:tc>
      </w:tr>
      <w:tr w:rsidR="001E714D" w:rsidRPr="001E714D" w14:paraId="592FE2BA" w14:textId="77777777" w:rsidTr="001E714D">
        <w:trPr>
          <w:trHeight w:val="310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B05A1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3AD35" w14:textId="77777777" w:rsidR="001E714D" w:rsidRPr="001E714D" w:rsidRDefault="001E714D" w:rsidP="001E71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 920.09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89B2D" w14:textId="77777777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626.81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5EDC8" w14:textId="3DBB2372" w:rsidR="001E714D" w:rsidRPr="001E714D" w:rsidRDefault="001E714D" w:rsidP="001E714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19.78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</w:rPr>
              <w:footnoteReference w:id="1"/>
            </w:r>
            <w:r w:rsidRPr="001E714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</w:tr>
    </w:tbl>
    <w:p w14:paraId="64F5DA92" w14:textId="77777777" w:rsidR="00D625D6" w:rsidRDefault="00D625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51BFE3" w14:textId="77777777" w:rsidR="00B777B0" w:rsidRDefault="00B777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9E7A6D0" w14:textId="4FB2CB0A" w:rsidR="00BA28D9" w:rsidRDefault="00453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In </w:t>
      </w:r>
      <w:r w:rsidR="00470E45">
        <w:rPr>
          <w:color w:val="000000"/>
        </w:rPr>
        <w:t>March</w:t>
      </w:r>
      <w:r>
        <w:rPr>
          <w:color w:val="000000"/>
        </w:rPr>
        <w:t xml:space="preserve">, the DMO </w:t>
      </w:r>
      <w:r w:rsidR="00E80AE9">
        <w:rPr>
          <w:color w:val="000000"/>
        </w:rPr>
        <w:t xml:space="preserve">issued </w:t>
      </w:r>
      <w:r w:rsidR="00470E45">
        <w:rPr>
          <w:color w:val="000000"/>
        </w:rPr>
        <w:t>1</w:t>
      </w:r>
      <w:r w:rsidR="002A32F7">
        <w:rPr>
          <w:color w:val="000000"/>
        </w:rPr>
        <w:t xml:space="preserve"> new bond with </w:t>
      </w:r>
      <w:r w:rsidR="00470E45">
        <w:rPr>
          <w:color w:val="000000"/>
        </w:rPr>
        <w:t xml:space="preserve">a </w:t>
      </w:r>
      <w:r w:rsidR="002A32F7">
        <w:rPr>
          <w:color w:val="000000"/>
        </w:rPr>
        <w:t xml:space="preserve">duration of </w:t>
      </w:r>
      <w:r w:rsidR="0013436F">
        <w:rPr>
          <w:color w:val="000000"/>
        </w:rPr>
        <w:t>5</w:t>
      </w:r>
      <w:r w:rsidR="00470E45">
        <w:rPr>
          <w:color w:val="000000"/>
        </w:rPr>
        <w:t xml:space="preserve"> </w:t>
      </w:r>
      <w:r w:rsidR="002A32F7">
        <w:rPr>
          <w:color w:val="000000"/>
        </w:rPr>
        <w:t>years</w:t>
      </w:r>
      <w:r w:rsidR="00470E45">
        <w:rPr>
          <w:color w:val="000000"/>
        </w:rPr>
        <w:t xml:space="preserve"> (i.e. 19.</w:t>
      </w:r>
      <w:r w:rsidR="0013436F">
        <w:rPr>
          <w:color w:val="000000"/>
        </w:rPr>
        <w:t>30</w:t>
      </w:r>
      <w:r w:rsidR="00470E45">
        <w:rPr>
          <w:color w:val="000000"/>
        </w:rPr>
        <w:t xml:space="preserve">% </w:t>
      </w:r>
      <w:r w:rsidR="0013436F">
        <w:rPr>
          <w:color w:val="000000"/>
        </w:rPr>
        <w:t>April</w:t>
      </w:r>
      <w:r w:rsidR="00470E45">
        <w:rPr>
          <w:color w:val="000000"/>
        </w:rPr>
        <w:t xml:space="preserve"> 202</w:t>
      </w:r>
      <w:r w:rsidR="00DA3521">
        <w:rPr>
          <w:color w:val="000000"/>
        </w:rPr>
        <w:t>9</w:t>
      </w:r>
      <w:r w:rsidR="00470E45">
        <w:rPr>
          <w:color w:val="000000"/>
        </w:rPr>
        <w:t xml:space="preserve"> bond)</w:t>
      </w:r>
      <w:r w:rsidR="00162721">
        <w:rPr>
          <w:color w:val="000000"/>
        </w:rPr>
        <w:t xml:space="preserve"> and re-opened 2 other bonds i.e. 18.50% FEB 2031 and 19.00% Feb 2034 which were </w:t>
      </w:r>
      <w:r w:rsidR="000109BA">
        <w:rPr>
          <w:color w:val="000000"/>
        </w:rPr>
        <w:t xml:space="preserve">first </w:t>
      </w:r>
      <w:r w:rsidR="00162721">
        <w:rPr>
          <w:color w:val="000000"/>
        </w:rPr>
        <w:t xml:space="preserve">issued </w:t>
      </w:r>
      <w:r w:rsidR="00DA3521">
        <w:rPr>
          <w:color w:val="000000"/>
        </w:rPr>
        <w:t>in February</w:t>
      </w:r>
      <w:r w:rsidR="000109BA">
        <w:rPr>
          <w:color w:val="000000"/>
        </w:rPr>
        <w:t xml:space="preserve"> 2024</w:t>
      </w:r>
      <w:r w:rsidR="00162721">
        <w:rPr>
          <w:color w:val="000000"/>
        </w:rPr>
        <w:t>.</w:t>
      </w:r>
      <w:r w:rsidR="002A32F7">
        <w:rPr>
          <w:color w:val="000000"/>
        </w:rPr>
        <w:t xml:space="preserve"> </w:t>
      </w:r>
      <w:r w:rsidR="0062394A">
        <w:rPr>
          <w:color w:val="000000"/>
        </w:rPr>
        <w:t xml:space="preserve"> The</w:t>
      </w:r>
      <w:r w:rsidR="007367EE">
        <w:rPr>
          <w:color w:val="000000"/>
        </w:rPr>
        <w:t xml:space="preserve"> </w:t>
      </w:r>
      <w:r w:rsidR="00171BB7">
        <w:rPr>
          <w:color w:val="000000"/>
        </w:rPr>
        <w:t xml:space="preserve">total </w:t>
      </w:r>
      <w:r w:rsidR="007367EE">
        <w:rPr>
          <w:color w:val="000000"/>
        </w:rPr>
        <w:t>allocated amount</w:t>
      </w:r>
      <w:r w:rsidR="009A1796">
        <w:rPr>
          <w:color w:val="000000"/>
        </w:rPr>
        <w:t xml:space="preserve"> to bonds</w:t>
      </w:r>
      <w:r w:rsidR="007367EE">
        <w:rPr>
          <w:color w:val="000000"/>
        </w:rPr>
        <w:t xml:space="preserve"> </w:t>
      </w:r>
      <w:r w:rsidR="00F33C94">
        <w:rPr>
          <w:color w:val="000000"/>
        </w:rPr>
        <w:t>of N62</w:t>
      </w:r>
      <w:r w:rsidR="009E7593">
        <w:rPr>
          <w:color w:val="000000"/>
        </w:rPr>
        <w:t xml:space="preserve">7 billion </w:t>
      </w:r>
      <w:r w:rsidR="00415420">
        <w:rPr>
          <w:color w:val="000000"/>
        </w:rPr>
        <w:t xml:space="preserve">in April </w:t>
      </w:r>
      <w:r w:rsidR="009E7593">
        <w:rPr>
          <w:color w:val="000000"/>
        </w:rPr>
        <w:t xml:space="preserve">is broadly similar to that allocated in March of N609 billion. </w:t>
      </w:r>
    </w:p>
    <w:p w14:paraId="6EE941AB" w14:textId="77777777" w:rsidR="00E838C9" w:rsidRDefault="00E838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C36518" w14:textId="77777777" w:rsidR="00A46D6E" w:rsidRDefault="007367E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This is </w:t>
      </w:r>
      <w:r w:rsidR="00D2139B">
        <w:rPr>
          <w:color w:val="000000"/>
        </w:rPr>
        <w:t xml:space="preserve">a continuation </w:t>
      </w:r>
      <w:r w:rsidR="002834B3">
        <w:rPr>
          <w:color w:val="000000"/>
        </w:rPr>
        <w:t xml:space="preserve">of </w:t>
      </w:r>
      <w:r>
        <w:rPr>
          <w:color w:val="000000"/>
        </w:rPr>
        <w:t xml:space="preserve">CBN’s attempt to mop up excess liquidity in the system in order to stabilise the naira and offer </w:t>
      </w:r>
      <w:r w:rsidR="00171BB7">
        <w:rPr>
          <w:color w:val="000000"/>
        </w:rPr>
        <w:t xml:space="preserve">more attractive returns to investors. </w:t>
      </w:r>
      <w:r w:rsidR="00F5527F">
        <w:rPr>
          <w:color w:val="000000"/>
        </w:rPr>
        <w:t xml:space="preserve">The </w:t>
      </w:r>
      <w:r w:rsidR="004753B7">
        <w:rPr>
          <w:color w:val="000000"/>
        </w:rPr>
        <w:t>closing</w:t>
      </w:r>
      <w:r w:rsidR="00C32524">
        <w:rPr>
          <w:color w:val="000000"/>
        </w:rPr>
        <w:t xml:space="preserve"> average</w:t>
      </w:r>
      <w:r w:rsidR="004753B7">
        <w:rPr>
          <w:color w:val="000000"/>
        </w:rPr>
        <w:t xml:space="preserve"> </w:t>
      </w:r>
      <w:r w:rsidR="00F5527F">
        <w:rPr>
          <w:color w:val="000000"/>
        </w:rPr>
        <w:t xml:space="preserve">marginal </w:t>
      </w:r>
      <w:r w:rsidR="004753B7">
        <w:rPr>
          <w:color w:val="000000"/>
        </w:rPr>
        <w:t xml:space="preserve">yield for the </w:t>
      </w:r>
      <w:r w:rsidR="00496087">
        <w:rPr>
          <w:color w:val="000000"/>
        </w:rPr>
        <w:t xml:space="preserve">April </w:t>
      </w:r>
      <w:r w:rsidR="004753B7">
        <w:rPr>
          <w:color w:val="000000"/>
        </w:rPr>
        <w:t xml:space="preserve">auction was </w:t>
      </w:r>
      <w:r w:rsidR="001D1566">
        <w:rPr>
          <w:color w:val="000000"/>
        </w:rPr>
        <w:t xml:space="preserve">c. </w:t>
      </w:r>
      <w:r w:rsidR="00496087">
        <w:rPr>
          <w:color w:val="000000"/>
        </w:rPr>
        <w:t>4</w:t>
      </w:r>
      <w:r w:rsidR="001D1566">
        <w:rPr>
          <w:color w:val="000000"/>
        </w:rPr>
        <w:t xml:space="preserve">1bps </w:t>
      </w:r>
      <w:r w:rsidR="00496087">
        <w:rPr>
          <w:color w:val="000000"/>
        </w:rPr>
        <w:t xml:space="preserve">lower </w:t>
      </w:r>
      <w:r w:rsidR="001D1566">
        <w:rPr>
          <w:color w:val="000000"/>
        </w:rPr>
        <w:t xml:space="preserve">than the </w:t>
      </w:r>
      <w:r w:rsidR="00C32524">
        <w:rPr>
          <w:color w:val="000000"/>
        </w:rPr>
        <w:t xml:space="preserve">closing </w:t>
      </w:r>
      <w:r w:rsidR="001D1566">
        <w:rPr>
          <w:color w:val="000000"/>
        </w:rPr>
        <w:t xml:space="preserve">average </w:t>
      </w:r>
      <w:r w:rsidR="00C32524">
        <w:rPr>
          <w:color w:val="000000"/>
        </w:rPr>
        <w:t xml:space="preserve">for </w:t>
      </w:r>
      <w:r w:rsidR="00496087">
        <w:rPr>
          <w:color w:val="000000"/>
        </w:rPr>
        <w:t xml:space="preserve">March </w:t>
      </w:r>
      <w:r w:rsidR="00C32524">
        <w:rPr>
          <w:color w:val="000000"/>
        </w:rPr>
        <w:t xml:space="preserve">2024. </w:t>
      </w:r>
    </w:p>
    <w:p w14:paraId="03CC11FD" w14:textId="77777777" w:rsidR="00CF7070" w:rsidRDefault="00CF70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8045F55" w14:textId="17949977" w:rsidR="001C1DB2" w:rsidRDefault="00CF707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The new bond issued in April</w:t>
      </w:r>
      <w:r w:rsidR="001C1DB2">
        <w:rPr>
          <w:color w:val="000000"/>
        </w:rPr>
        <w:t xml:space="preserve"> 2024 a</w:t>
      </w:r>
      <w:r w:rsidR="0049317B">
        <w:rPr>
          <w:color w:val="000000"/>
        </w:rPr>
        <w:t xml:space="preserve">s well as </w:t>
      </w:r>
      <w:r>
        <w:rPr>
          <w:color w:val="000000"/>
        </w:rPr>
        <w:t xml:space="preserve">all bonds issued since February 2024 </w:t>
      </w:r>
      <w:r w:rsidR="008D22A5" w:rsidRPr="001F26B5">
        <w:t xml:space="preserve">have not been included </w:t>
      </w:r>
      <w:r w:rsidR="005123DC" w:rsidRPr="001F26B5">
        <w:t>in the construction of the yield curve.</w:t>
      </w:r>
      <w:r w:rsidR="001C1DB2">
        <w:t xml:space="preserve"> </w:t>
      </w:r>
      <w:r w:rsidR="005123DC" w:rsidRPr="001F26B5">
        <w:t xml:space="preserve"> </w:t>
      </w:r>
      <w:r w:rsidR="00DF3A8A">
        <w:t xml:space="preserve">This is currently under review with a view to see which ones should be included next month. </w:t>
      </w:r>
    </w:p>
    <w:p w14:paraId="1E91E48A" w14:textId="77777777" w:rsidR="00F53078" w:rsidRDefault="00F530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8F182EA" w14:textId="71FAA9EF" w:rsidR="009F705A" w:rsidRDefault="00F530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Similar to last </w:t>
      </w:r>
      <w:r w:rsidR="009F705A">
        <w:rPr>
          <w:color w:val="000000"/>
        </w:rPr>
        <w:t xml:space="preserve">month, the Smith Wilson Model did compute without any manipulation to the yields </w:t>
      </w:r>
      <w:r w:rsidR="00F367BB">
        <w:rPr>
          <w:color w:val="000000"/>
        </w:rPr>
        <w:t xml:space="preserve">of the longest duration bonds. </w:t>
      </w:r>
    </w:p>
    <w:p w14:paraId="5051BFEB" w14:textId="77777777" w:rsidR="00B777B0" w:rsidRPr="00F367BB" w:rsidRDefault="00B777B0">
      <w:pPr>
        <w:pBdr>
          <w:top w:val="nil"/>
          <w:left w:val="nil"/>
          <w:bottom w:val="nil"/>
          <w:right w:val="nil"/>
          <w:between w:val="nil"/>
        </w:pBdr>
        <w:jc w:val="both"/>
        <w:rPr>
          <w:strike/>
          <w:color w:val="000000"/>
        </w:rPr>
      </w:pPr>
    </w:p>
    <w:p w14:paraId="5051BFEC" w14:textId="77777777" w:rsidR="00B777B0" w:rsidRDefault="00453B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The table below sets out the bonds available, their features and what have been included in our calculation.</w:t>
      </w:r>
    </w:p>
    <w:p w14:paraId="5051BFED" w14:textId="77777777" w:rsidR="00B777B0" w:rsidRDefault="00B777B0"/>
    <w:p w14:paraId="1EE860A1" w14:textId="77777777" w:rsidR="00B777B0" w:rsidRDefault="00B777B0"/>
    <w:p w14:paraId="674B21F2" w14:textId="77777777" w:rsidR="000E58D6" w:rsidRDefault="000E58D6"/>
    <w:p w14:paraId="5051BFEE" w14:textId="77777777" w:rsidR="000E58D6" w:rsidRDefault="000E58D6">
      <w:pPr>
        <w:sectPr w:rsidR="000E58D6" w:rsidSect="00944BB1">
          <w:footerReference w:type="even" r:id="rId9"/>
          <w:footerReference w:type="default" r:id="rId10"/>
          <w:pgSz w:w="11906" w:h="16838"/>
          <w:pgMar w:top="1440" w:right="1440" w:bottom="1440" w:left="851" w:header="708" w:footer="708" w:gutter="0"/>
          <w:pgNumType w:start="1"/>
          <w:cols w:space="720"/>
        </w:sectPr>
      </w:pPr>
    </w:p>
    <w:p w14:paraId="057BD1C1" w14:textId="77777777" w:rsidR="003A48BF" w:rsidRDefault="003A48BF"/>
    <w:p w14:paraId="0D66E3F3" w14:textId="77777777" w:rsidR="004A1797" w:rsidRDefault="004A1797"/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740"/>
        <w:gridCol w:w="1300"/>
        <w:gridCol w:w="1660"/>
        <w:gridCol w:w="1460"/>
        <w:gridCol w:w="1100"/>
        <w:gridCol w:w="1080"/>
        <w:gridCol w:w="1020"/>
        <w:gridCol w:w="940"/>
        <w:gridCol w:w="1120"/>
      </w:tblGrid>
      <w:tr w:rsidR="00F95B26" w14:paraId="59D15FB8" w14:textId="77777777" w:rsidTr="00C9558A">
        <w:trPr>
          <w:cantSplit/>
          <w:trHeight w:val="560"/>
          <w:tblHeader/>
        </w:trPr>
        <w:tc>
          <w:tcPr>
            <w:tcW w:w="2700" w:type="dxa"/>
            <w:shd w:val="clear" w:color="000000" w:fill="1D326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30123" w14:textId="77777777" w:rsidR="00F95B26" w:rsidRDefault="00F95B26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  <w:tc>
          <w:tcPr>
            <w:tcW w:w="174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F89DC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Issue Date</w:t>
            </w:r>
          </w:p>
        </w:tc>
        <w:tc>
          <w:tcPr>
            <w:tcW w:w="130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89735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Coupon (%)</w:t>
            </w:r>
          </w:p>
        </w:tc>
        <w:tc>
          <w:tcPr>
            <w:tcW w:w="166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DC7BC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Outstanding Value (₦’bn)</w:t>
            </w:r>
          </w:p>
        </w:tc>
        <w:tc>
          <w:tcPr>
            <w:tcW w:w="146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45E5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Maturity Date</w:t>
            </w:r>
          </w:p>
        </w:tc>
        <w:tc>
          <w:tcPr>
            <w:tcW w:w="110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366A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TTM (Yrs)</w:t>
            </w:r>
          </w:p>
        </w:tc>
        <w:tc>
          <w:tcPr>
            <w:tcW w:w="108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E51D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Yield (%)</w:t>
            </w:r>
          </w:p>
        </w:tc>
        <w:tc>
          <w:tcPr>
            <w:tcW w:w="102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64CF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Closing Price</w:t>
            </w:r>
          </w:p>
        </w:tc>
        <w:tc>
          <w:tcPr>
            <w:tcW w:w="94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3B237" w14:textId="44976BA0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Liquid Bonds</w:t>
            </w:r>
            <w:r w:rsidR="00C9558A">
              <w:rPr>
                <w:rStyle w:val="FootnoteReference"/>
                <w:rFonts w:ascii="Arial" w:hAnsi="Arial" w:cs="Arial"/>
                <w:b/>
                <w:bCs/>
                <w:color w:val="FFFFFF"/>
                <w:sz w:val="22"/>
                <w:szCs w:val="22"/>
              </w:rPr>
              <w:footnoteReference w:id="2"/>
            </w:r>
          </w:p>
        </w:tc>
        <w:tc>
          <w:tcPr>
            <w:tcW w:w="1120" w:type="dxa"/>
            <w:shd w:val="clear" w:color="000000" w:fill="1D326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C60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Included in Calc</w:t>
            </w:r>
          </w:p>
        </w:tc>
      </w:tr>
      <w:tr w:rsidR="00F95B26" w14:paraId="293B3984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1EEA2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^13.53 23-MAR-2025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CA00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23-Mar-18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525C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13.53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83F40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562.45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F7E4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23-Mar-25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C1F5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0.90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C2E1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18.96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224FD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95.66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1F3ED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781CB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7792481D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A3E97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^12.50 22-JAN-2026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053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22-Jan-16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3F69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12.50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75413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1199.74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11B3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22-Jan-26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F82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1.73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3002F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AC2E6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91.97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3B165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9403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370B37A8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56637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^21.00 20-MAR-2026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1231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20-Mar-24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99CD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21.00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E967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700.00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0F39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20-Mar-26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D427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1.89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BB6EF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5B149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104.42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F1BC8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98E77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66C417E6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30C5C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^16.2884 17-MAR-2027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E079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17-Mar-17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590A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16.29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B5958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1035.03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F566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17-Mar-27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30B5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2.88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77CCC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18.46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B76AD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95.25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49926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1987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41BE4ADF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5B3D1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^19.94 20-MAR-2027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0039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20-Mar-24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56C5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19.94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A85A6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1251.93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5F9B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20-Mar-27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89A4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2.89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23D67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19.45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A5C14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100.96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B45E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68D0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04B87AA5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B1F5C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^13.98 23-FEB-2028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ED7CD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23-Feb-18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9A2F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13.98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DF995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1625.52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C9BC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23-Feb-28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E22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3.81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1E416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18.95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816FC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86.84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65FBF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3DD96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780A0B11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5B36E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^21.00 20-MAR-2028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1523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20-Mar-24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A861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21.00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47053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558.24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5E6E2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20-Mar-28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757EC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3.89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4E12F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18.93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FAA02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105.43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9D1B7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F1BCB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187F045F" w14:textId="77777777" w:rsidTr="00C9558A">
        <w:trPr>
          <w:trHeight w:val="3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78097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15.00 28-NOV-2028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CEC9C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28-Nov-08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DE8A6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0930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44B09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28-Nov-28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F4E8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4.58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40B47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156CC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87.89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B85D6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A1F4A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711BB793" w14:textId="77777777" w:rsidTr="00C9558A">
        <w:trPr>
          <w:trHeight w:val="3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7639D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19.30 17-APR-2029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533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17-Apr-24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6C61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94688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79.92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3866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17-Apr-29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803B2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4.96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29B2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19.10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8138B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100.60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2A18C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60D5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7666554F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E6755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^14.55 26-APR-2029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EF521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26-Apr-19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ED73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15.49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440DC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1040.31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921D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26-Apr-29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53BB5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4.99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06478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19.14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B4800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85.63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6243A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8CB91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70998126" w14:textId="77777777" w:rsidTr="00C9558A">
        <w:trPr>
          <w:trHeight w:val="3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3BD85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12.49 22-MAY-2029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810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22-May-09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541C9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99E1B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1C72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22-May-29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70275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5E918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19.16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C061B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78.94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2D8C1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23EA2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5A7894B4" w14:textId="77777777" w:rsidTr="00C9558A">
        <w:trPr>
          <w:trHeight w:val="3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C86C4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8.50 20-NOV-2029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ADFB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20-Nov-09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4AF5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78A3A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A2F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20-Nov-29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DE98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5.56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4515D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19.29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21030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64.16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3CC25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B5E98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00FD410E" w14:textId="77777777" w:rsidTr="00C9558A">
        <w:trPr>
          <w:trHeight w:val="3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DB307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10.00 23-JUL-2030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9F42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23-Jul-10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74EA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082FC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591.57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DA0C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23-Jul-30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D40E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6.23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044B2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19.45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84BE3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66.63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41A9B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D8FAB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066BC47F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576D4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^18.50 21-FEB-2031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C541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21-Feb-24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30116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18.50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D7B69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1006.46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463D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21-Feb-31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793F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6.81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2DAF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19.60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C8810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95.86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CA075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48FC2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4715D8EE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DE665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^12.50 27-APR-2032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C9B9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27-Apr-22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AB7A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12.50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4E89A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848.11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C16C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27-Apr-32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2273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7.99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7EDF5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19.66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09C95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71.72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3CC08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728D2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4DC5AB2E" w14:textId="77777777" w:rsidTr="00C9558A">
        <w:trPr>
          <w:trHeight w:val="3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FF7BB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14.70 21-JUN-2033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F8F89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21-Jun-23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42F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134BB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331.91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0F32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21-Jun-33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02F1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9.14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9BC1C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19.60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22881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79.44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8CEC0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09F8D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6EC972C5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4DE13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^19.00 21-FEB-2034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85AFD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21-Feb-24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77ED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8E8C5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1492.28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6CD79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21-Feb-34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550D5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9.81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AC5DB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19.57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55187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97.43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8242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2EC20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4BA8ED67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4E62E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^12.1493 18-JUL-2034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F3AD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18-Jul-14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22D6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12.15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52263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1075.92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F281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18-Jul-34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7FDB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10.21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DB19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3ED90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69.28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D8E1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208D1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0BEC2F9C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85A17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^12.50 27-MAR-2035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4FDB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27-Mar-20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7569D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12.50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290C9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972.04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9615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27-Mar-35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8E74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10.90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E6FE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19.03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DA13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70.38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D1DD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9BF49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05FE36C0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B3036" w14:textId="77777777" w:rsidR="00F95B26" w:rsidRDefault="00F95B2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^12.40 18-MAR-2036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57ED5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18-Mar-16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F648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12.40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77C0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926.14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C442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18-Mar-36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0B12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11.88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66503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18.97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E1C20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69.33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9D12A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A146C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676E130D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70A1E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^16.2499 18-APR-2037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BD460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18-Apr-17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F388C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16.25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92C40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1796.66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3617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18-Apr-37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F511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12.97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611E2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18.92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8C5A0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87.21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3948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C54CC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78161330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DC267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^15.45 21-JUN-2038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79361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21-Jun-23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DBF49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15.45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458F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691.34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96A53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21-Jun-38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0B0D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14.14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E0FC4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18.10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F80E1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86.55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03E29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D9690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95B26" w14:paraId="0D5F02E5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B0277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^13.00 21-JAN-2042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A439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21-Jan-22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069DF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13.00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9BAE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1393.75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32BDD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21-Jan-42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6AC5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17.73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DF3D9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18.69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0A3CC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70.77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8AC64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A45A8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6C37F2BE" w14:textId="77777777" w:rsidTr="00C9558A">
        <w:trPr>
          <w:trHeight w:val="31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BBE6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9.80 24-JUL-2045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B1C95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24-Jul-20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4322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9.80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5F570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437.46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5A4A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24-Jul-45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A61C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21.23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5D13B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18.65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89847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53.57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6BF74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B6895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3DBBC607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86254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^14.80 26-APR-2049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0FB5E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26-Apr-19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309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14.80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D2357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1765.67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19EA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26-Apr-49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FD1D8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24.99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22442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18.61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5DB2F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79.77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6606E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E4B4D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21843272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8DA86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^12.98 27-MAR-2050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43AA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27-Mar-20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B92DB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12.98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DA223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1595.41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21CF7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27-Mar-50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DFA22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25.90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1D25A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18.33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FA508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71.09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AF1AF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68EE1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F95B26" w14:paraId="07B7255C" w14:textId="77777777" w:rsidTr="00C9558A">
        <w:trPr>
          <w:trHeight w:val="310"/>
        </w:trPr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F7AF" w14:textId="77777777" w:rsidR="00F95B26" w:rsidRDefault="00F95B2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^15.70 21-JUN-2053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DDE3A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21-Jun-23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0EE5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15.70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F2709" w14:textId="77777777" w:rsidR="00F95B26" w:rsidRDefault="00F95B26" w:rsidP="00C80AFF">
            <w:pPr>
              <w:ind w:right="17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1770.16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92E74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21-Jun-53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FC19" w14:textId="77777777" w:rsidR="00F95B26" w:rsidRDefault="00F95B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29.14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F0A8B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18.45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470ED" w14:textId="77777777" w:rsidR="00F95B26" w:rsidRDefault="00F95B2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85.10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2CA9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0" w:type="auto"/>
            <w:shd w:val="clear" w:color="000000" w:fill="9999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70CEA" w14:textId="77777777" w:rsidR="00F95B26" w:rsidRDefault="00F95B26" w:rsidP="00C955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</w:tr>
    </w:tbl>
    <w:p w14:paraId="6FD24141" w14:textId="52D504DF" w:rsidR="004A1797" w:rsidRDefault="00F95B26">
      <w:r>
        <w:t xml:space="preserve"> </w:t>
      </w:r>
    </w:p>
    <w:p w14:paraId="5051C0EE" w14:textId="76BA4CB7" w:rsidR="00B777B0" w:rsidRDefault="00453B82">
      <w:r>
        <w:t xml:space="preserve">Overall, the yields in </w:t>
      </w:r>
      <w:r w:rsidR="00FC6B63">
        <w:t xml:space="preserve">April are broadly lower at the short end of the curve and broadly similar at the middle of the curve. </w:t>
      </w:r>
    </w:p>
    <w:p w14:paraId="188AA95F" w14:textId="77777777" w:rsidR="00AA6829" w:rsidRDefault="00AA6829"/>
    <w:p w14:paraId="58FA1B3D" w14:textId="0ECA6112" w:rsidR="00266E36" w:rsidRDefault="00453B82">
      <w:r>
        <w:t>For the shorter end of the yield curve, Treasury bill market was considered. The following Treasury bill instruments are availabl</w:t>
      </w:r>
      <w:r w:rsidR="00AA6829">
        <w:t>e</w:t>
      </w:r>
    </w:p>
    <w:p w14:paraId="7C753BE6" w14:textId="77777777" w:rsidR="00DB7B03" w:rsidRDefault="00DB7B03"/>
    <w:tbl>
      <w:tblPr>
        <w:tblW w:w="12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700"/>
        <w:gridCol w:w="1740"/>
        <w:gridCol w:w="1580"/>
        <w:gridCol w:w="1840"/>
        <w:gridCol w:w="2240"/>
        <w:gridCol w:w="960"/>
        <w:gridCol w:w="1440"/>
      </w:tblGrid>
      <w:tr w:rsidR="00D136F3" w:rsidRPr="001D1B44" w14:paraId="40ACAC4B" w14:textId="77777777" w:rsidTr="00D136F3">
        <w:trPr>
          <w:cantSplit/>
          <w:trHeight w:val="560"/>
          <w:tblHeader/>
        </w:trPr>
        <w:tc>
          <w:tcPr>
            <w:tcW w:w="1300" w:type="dxa"/>
            <w:shd w:val="clear" w:color="000000" w:fill="1D326C"/>
            <w:noWrap/>
            <w:vAlign w:val="center"/>
            <w:hideMark/>
          </w:tcPr>
          <w:p w14:paraId="7949B32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DTM</w:t>
            </w:r>
          </w:p>
        </w:tc>
        <w:tc>
          <w:tcPr>
            <w:tcW w:w="1700" w:type="dxa"/>
            <w:shd w:val="clear" w:color="000000" w:fill="1D326C"/>
            <w:noWrap/>
            <w:vAlign w:val="center"/>
            <w:hideMark/>
          </w:tcPr>
          <w:p w14:paraId="1B6AC50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Maturity</w:t>
            </w:r>
          </w:p>
        </w:tc>
        <w:tc>
          <w:tcPr>
            <w:tcW w:w="1740" w:type="dxa"/>
            <w:shd w:val="clear" w:color="000000" w:fill="1D326C"/>
            <w:noWrap/>
            <w:vAlign w:val="center"/>
            <w:hideMark/>
          </w:tcPr>
          <w:p w14:paraId="6A143EC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Closing Rate (%)</w:t>
            </w:r>
          </w:p>
        </w:tc>
        <w:tc>
          <w:tcPr>
            <w:tcW w:w="1580" w:type="dxa"/>
            <w:shd w:val="clear" w:color="000000" w:fill="1D326C"/>
            <w:noWrap/>
            <w:vAlign w:val="center"/>
            <w:hideMark/>
          </w:tcPr>
          <w:p w14:paraId="25B957D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 xml:space="preserve"> Yield (%)</w:t>
            </w:r>
          </w:p>
        </w:tc>
        <w:tc>
          <w:tcPr>
            <w:tcW w:w="1840" w:type="dxa"/>
            <w:shd w:val="clear" w:color="000000" w:fill="1D326C"/>
            <w:noWrap/>
            <w:vAlign w:val="center"/>
            <w:hideMark/>
          </w:tcPr>
          <w:p w14:paraId="526AF2F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Closing Price</w:t>
            </w:r>
          </w:p>
        </w:tc>
        <w:tc>
          <w:tcPr>
            <w:tcW w:w="2240" w:type="dxa"/>
            <w:shd w:val="clear" w:color="000000" w:fill="1D326C"/>
            <w:vAlign w:val="center"/>
            <w:hideMark/>
          </w:tcPr>
          <w:p w14:paraId="6BF8129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Outstanding Value (₦’bn)</w:t>
            </w:r>
          </w:p>
        </w:tc>
        <w:tc>
          <w:tcPr>
            <w:tcW w:w="960" w:type="dxa"/>
            <w:shd w:val="clear" w:color="000000" w:fill="1D326C"/>
            <w:vAlign w:val="center"/>
            <w:hideMark/>
          </w:tcPr>
          <w:p w14:paraId="26ED5C42" w14:textId="79D01F25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Liquid T'bills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footnoteReference w:id="3"/>
            </w:r>
          </w:p>
        </w:tc>
        <w:tc>
          <w:tcPr>
            <w:tcW w:w="1440" w:type="dxa"/>
            <w:shd w:val="clear" w:color="000000" w:fill="1D326C"/>
            <w:vAlign w:val="center"/>
            <w:hideMark/>
          </w:tcPr>
          <w:p w14:paraId="7AF9152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  <w:t>Included in Calcs</w:t>
            </w:r>
          </w:p>
        </w:tc>
      </w:tr>
      <w:tr w:rsidR="001D1B44" w:rsidRPr="001D1B44" w14:paraId="77FCAA75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3B5A854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1AB89C7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9-May-24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37572B4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25.00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2623A5B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25.16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409971C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99.39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59AE319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179.36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0AB128FA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97DBE5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469ABB36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243EF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108F87E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23-May-24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D5CA4E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21.00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162EBD1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21.28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A18AB0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98.68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F6590D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508.98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737B6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50ECD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3E42A4BB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390CEEE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4036813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6-Jun-24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0607FEA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23.87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7BC07D0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24.46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2288FF7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97.59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7CBC1E4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221.13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57E1E17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94105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2F08B512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B6615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78C1246A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27-Jun-24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49EE03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23.65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7E0D1CA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24.57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811687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96.25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EE0AA5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228.71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F4A08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BF46B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0E6AD324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7C173E3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22BBAE0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11-Jul-24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15105D1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23.50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2FD13D8A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24.64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0932915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95.38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73FF08B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166.11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19FDC78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DC02F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1085E4CA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32C6E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E052F9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25-Jul-24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7FF52A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18.05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49129D3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18.85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A2745C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95.76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FAD304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277.96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22AC4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736E89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162C461B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7BA6DDA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4B91C8A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8-Aug-24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32CA794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18.15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1C9B090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19.10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02B758B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95.04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4ED4582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199.50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43459B1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5ACB0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57028D48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8A3CD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14E004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22-Aug-24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86E097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19.00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606D503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20.20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CAAA30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94.08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93DDA2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349.29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E5E48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7BEB6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6F9021D4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17F2EC3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5D5C7A0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5-Sep-24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3FC34BE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18.36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42435DB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19.62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2D701BCA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93.58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40E6DF1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213.71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74092C8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FD1EB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22C63001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6EA99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B6BFAB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12-Sep-24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87E0C8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18.41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6B487C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19.76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6C93E6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93.21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16C955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155.10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AB12B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F9A89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30394D37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2C6D3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B6651B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26-Sep-24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2F5A7E1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18.52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3DA3848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20.03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51F2E6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92.46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84390E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199.39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1A372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C268C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452B6A10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21540B0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177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3038C3E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24-Oct-24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0CC0F22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18.73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6117801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20.61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5D99C0B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90.94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6E839F9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361.53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4A8F80D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4F598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0425E10E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2D90BAC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191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2459813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7-Nov-24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18BFD60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19.00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1283A93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21.10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5FFF331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90.08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5C57D53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487.24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309B935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B70742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70C4B203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378F7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205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A8840C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21-Nov-24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8298C4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19.00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0CF82B6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21.27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27A7036A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89.36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D3AB4E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540.45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3BC38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FC8432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3F069508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44EE19B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219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7D5C9E3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5-Dec-24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652DF0E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18.05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2E7EC66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20.24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508D142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89.20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4F4B471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563.12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15F2B07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68BC2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48521436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90399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226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09FDF5A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12-Dec-24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EC4D59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19.11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1041D85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21.68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9166D1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88.20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C639DC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256.51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A91C1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A7396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649285FA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DE35C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5AC11AA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26-Dec-24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D288E4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19.22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7E7EFB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22.00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7E363B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87.40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97469F2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268.74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11517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6E1E7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5996FE6E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642AB91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268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560C599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23-Jan-25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32D5B75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19.43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4BE77B5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22.67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0A749B2B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85.73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3671882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217.53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3C82121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FD043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3BCC6552" w14:textId="77777777" w:rsidTr="00D136F3">
        <w:trPr>
          <w:trHeight w:val="29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10AB9D0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282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22B2D71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6-Feb-25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41F1D81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19.54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75FB71D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23.02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4A4B71F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84.90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4B5FEC5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908.75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39FBB19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7D970E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6CB238B6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57BEC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296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603D9BE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20-Feb-25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93943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20.00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6A9AF8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23.87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46C0056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83.78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F9BB96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1192.09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236EDE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E61101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38BC2835" w14:textId="77777777" w:rsidTr="00D136F3">
        <w:trPr>
          <w:trHeight w:val="300"/>
        </w:trPr>
        <w:tc>
          <w:tcPr>
            <w:tcW w:w="1300" w:type="dxa"/>
            <w:shd w:val="clear" w:color="000000" w:fill="A6A6A6"/>
            <w:noWrap/>
            <w:vAlign w:val="center"/>
            <w:hideMark/>
          </w:tcPr>
          <w:p w14:paraId="0C36848C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1700" w:type="dxa"/>
            <w:shd w:val="clear" w:color="000000" w:fill="A6A6A6"/>
            <w:noWrap/>
            <w:vAlign w:val="center"/>
            <w:hideMark/>
          </w:tcPr>
          <w:p w14:paraId="2287AE0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6-Mar-25</w:t>
            </w:r>
          </w:p>
        </w:tc>
        <w:tc>
          <w:tcPr>
            <w:tcW w:w="1740" w:type="dxa"/>
            <w:shd w:val="clear" w:color="000000" w:fill="A6A6A6"/>
            <w:noWrap/>
            <w:vAlign w:val="center"/>
            <w:hideMark/>
          </w:tcPr>
          <w:p w14:paraId="4A2BFAB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21.00</w:t>
            </w:r>
          </w:p>
        </w:tc>
        <w:tc>
          <w:tcPr>
            <w:tcW w:w="1580" w:type="dxa"/>
            <w:shd w:val="clear" w:color="000000" w:fill="A6A6A6"/>
            <w:noWrap/>
            <w:vAlign w:val="center"/>
            <w:hideMark/>
          </w:tcPr>
          <w:p w14:paraId="143F075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25.56</w:t>
            </w:r>
          </w:p>
        </w:tc>
        <w:tc>
          <w:tcPr>
            <w:tcW w:w="1840" w:type="dxa"/>
            <w:shd w:val="clear" w:color="000000" w:fill="A6A6A6"/>
            <w:noWrap/>
            <w:vAlign w:val="center"/>
            <w:hideMark/>
          </w:tcPr>
          <w:p w14:paraId="510976E9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82.16</w:t>
            </w:r>
          </w:p>
        </w:tc>
        <w:tc>
          <w:tcPr>
            <w:tcW w:w="2240" w:type="dxa"/>
            <w:shd w:val="clear" w:color="000000" w:fill="A6A6A6"/>
            <w:noWrap/>
            <w:vAlign w:val="center"/>
            <w:hideMark/>
          </w:tcPr>
          <w:p w14:paraId="7323AE7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1292.71</w:t>
            </w:r>
          </w:p>
        </w:tc>
        <w:tc>
          <w:tcPr>
            <w:tcW w:w="960" w:type="dxa"/>
            <w:shd w:val="clear" w:color="000000" w:fill="A6A6A6"/>
            <w:noWrap/>
            <w:vAlign w:val="center"/>
            <w:hideMark/>
          </w:tcPr>
          <w:p w14:paraId="3AE92C07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440" w:type="dxa"/>
            <w:shd w:val="clear" w:color="000000" w:fill="A6A6A6"/>
            <w:noWrap/>
            <w:vAlign w:val="center"/>
            <w:hideMark/>
          </w:tcPr>
          <w:p w14:paraId="1E4ADAE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Yes</w:t>
            </w:r>
          </w:p>
        </w:tc>
      </w:tr>
      <w:tr w:rsidR="001D1B44" w:rsidRPr="001D1B44" w14:paraId="065E7D6D" w14:textId="77777777" w:rsidTr="00D136F3">
        <w:trPr>
          <w:trHeight w:val="29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5F48C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317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5376E33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13-Mar-25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12F86DC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20.20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F995F1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24.50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9E1B45F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82.46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2D1712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150.85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EE1046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F32EFD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1D1B44" w:rsidRPr="001D1B44" w14:paraId="01056B09" w14:textId="77777777" w:rsidTr="00D136F3">
        <w:trPr>
          <w:trHeight w:val="30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E661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331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79F294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27-Mar-25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FFEF670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21.35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3340ED45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26.48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5CDB4DF3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80.64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44A53F8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1582.05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843221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83D814" w14:textId="77777777" w:rsidR="001D1B44" w:rsidRPr="001D1B44" w:rsidRDefault="001D1B44" w:rsidP="001D1B44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1D1B44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516D09A2" w14:textId="251C3FFE" w:rsidR="00DB7B03" w:rsidRDefault="00DB7B03"/>
    <w:p w14:paraId="036BC4B3" w14:textId="18032C4F" w:rsidR="00E13DFB" w:rsidRDefault="00453B82">
      <w:r>
        <w:t xml:space="preserve">It is noted that at the end of </w:t>
      </w:r>
      <w:r w:rsidR="00DB7B03">
        <w:t xml:space="preserve">April </w:t>
      </w:r>
      <w:r>
        <w:t xml:space="preserve">2024, the yields on Treasury bills were higher than that observed at the end of </w:t>
      </w:r>
      <w:r w:rsidR="00DB7B03">
        <w:t>March</w:t>
      </w:r>
      <w:r w:rsidR="00D1314F">
        <w:t xml:space="preserve"> </w:t>
      </w:r>
      <w:r>
        <w:t>202</w:t>
      </w:r>
      <w:r w:rsidR="00D1314F">
        <w:t>4</w:t>
      </w:r>
      <w:r>
        <w:t xml:space="preserve"> at all maturities</w:t>
      </w:r>
      <w:r w:rsidR="00F613BA">
        <w:t xml:space="preserve"> especially at the short end</w:t>
      </w:r>
      <w:r>
        <w:t xml:space="preserve">. The outstanding value of the Treasury Bills market at the end of </w:t>
      </w:r>
      <w:r w:rsidR="00DB7B03">
        <w:t>April 2024 was N10</w:t>
      </w:r>
      <w:r w:rsidR="005C2EB6">
        <w:t xml:space="preserve">.5 trillion which compares with </w:t>
      </w:r>
      <w:r w:rsidR="00D964F2">
        <w:t>March</w:t>
      </w:r>
      <w:r w:rsidR="0019712E">
        <w:t xml:space="preserve"> 20</w:t>
      </w:r>
      <w:r w:rsidR="00D964F2">
        <w:t>2</w:t>
      </w:r>
      <w:r w:rsidR="0019712E">
        <w:t xml:space="preserve">4 </w:t>
      </w:r>
      <w:r w:rsidR="005C2EB6">
        <w:t>at</w:t>
      </w:r>
      <w:r w:rsidR="007C6ABC">
        <w:t>N7.</w:t>
      </w:r>
      <w:r w:rsidR="00F527E3">
        <w:t>7</w:t>
      </w:r>
      <w:r w:rsidR="007C6ABC">
        <w:t xml:space="preserve"> trillion</w:t>
      </w:r>
      <w:r w:rsidR="005C2EB6">
        <w:t>,</w:t>
      </w:r>
      <w:r w:rsidR="007C6ABC">
        <w:t xml:space="preserve"> </w:t>
      </w:r>
      <w:r w:rsidR="00F527E3">
        <w:t xml:space="preserve">February 2024 </w:t>
      </w:r>
      <w:r w:rsidR="005C2EB6">
        <w:t>at</w:t>
      </w:r>
      <w:r w:rsidR="00F527E3">
        <w:t xml:space="preserve"> N7.1 trillion and </w:t>
      </w:r>
      <w:r>
        <w:t xml:space="preserve">January 2024 </w:t>
      </w:r>
      <w:r w:rsidR="007C6ABC">
        <w:t xml:space="preserve">which </w:t>
      </w:r>
      <w:r>
        <w:t xml:space="preserve">was c. N6.2 trillion. </w:t>
      </w:r>
    </w:p>
    <w:p w14:paraId="4ED0D9A4" w14:textId="77777777" w:rsidR="00E13DFB" w:rsidRDefault="00E13DFB"/>
    <w:p w14:paraId="5051C1D3" w14:textId="5865A752" w:rsidR="00B777B0" w:rsidRDefault="00453B82">
      <w:pPr>
        <w:sectPr w:rsidR="00B777B0" w:rsidSect="00944BB1">
          <w:pgSz w:w="16838" w:h="11906" w:orient="landscape"/>
          <w:pgMar w:top="851" w:right="1440" w:bottom="993" w:left="1440" w:header="708" w:footer="255" w:gutter="0"/>
          <w:cols w:space="720"/>
        </w:sectPr>
      </w:pPr>
      <w:r>
        <w:t xml:space="preserve"> </w:t>
      </w:r>
    </w:p>
    <w:p w14:paraId="5051C1D4" w14:textId="77777777" w:rsidR="00B777B0" w:rsidRDefault="00B777B0"/>
    <w:p w14:paraId="6F6F1924" w14:textId="4BD95C09" w:rsidR="00787CA0" w:rsidRDefault="0024203B">
      <w:r>
        <w:t xml:space="preserve">In </w:t>
      </w:r>
      <w:r w:rsidR="008B66DF">
        <w:t>April</w:t>
      </w:r>
      <w:r w:rsidR="00856406">
        <w:t>,</w:t>
      </w:r>
      <w:r w:rsidR="00312C22">
        <w:t xml:space="preserve"> </w:t>
      </w:r>
      <w:r>
        <w:t xml:space="preserve">the </w:t>
      </w:r>
      <w:r w:rsidR="003B4C5E">
        <w:t xml:space="preserve">interpolated yields are broadly </w:t>
      </w:r>
      <w:r w:rsidR="004A769A">
        <w:t>similar to those in March except at the short end. The</w:t>
      </w:r>
      <w:r w:rsidR="00301BE2">
        <w:t xml:space="preserve"> </w:t>
      </w:r>
      <w:r w:rsidR="00787CA0">
        <w:t>year</w:t>
      </w:r>
      <w:r w:rsidR="00301BE2">
        <w:t xml:space="preserve"> 1</w:t>
      </w:r>
      <w:r w:rsidR="004B034E">
        <w:t xml:space="preserve"> yields in April are significantly higher than March but </w:t>
      </w:r>
      <w:r w:rsidR="00787CA0">
        <w:t xml:space="preserve">up to year 10, the rates in </w:t>
      </w:r>
      <w:r w:rsidR="00F650C6">
        <w:t>April</w:t>
      </w:r>
      <w:r w:rsidR="00787CA0">
        <w:t xml:space="preserve"> are lower than those observed in </w:t>
      </w:r>
      <w:r w:rsidR="00F650C6">
        <w:t>March</w:t>
      </w:r>
      <w:r w:rsidR="00787CA0">
        <w:t xml:space="preserve">. </w:t>
      </w:r>
    </w:p>
    <w:p w14:paraId="7742CB78" w14:textId="77777777" w:rsidR="008B66DF" w:rsidRDefault="008B66DF"/>
    <w:p w14:paraId="7EDAF28E" w14:textId="703B27F8" w:rsidR="00BB15DA" w:rsidRDefault="008B66DF">
      <w:r>
        <w:rPr>
          <w:noProof/>
        </w:rPr>
        <w:drawing>
          <wp:inline distT="0" distB="0" distL="0" distR="0" wp14:anchorId="0D7ADD28" wp14:editId="2CD71804">
            <wp:extent cx="5214620" cy="3253728"/>
            <wp:effectExtent l="19050" t="19050" r="24130" b="23495"/>
            <wp:docPr id="194408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301" cy="32603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D3A4F">
        <w:t xml:space="preserve"> </w:t>
      </w:r>
    </w:p>
    <w:p w14:paraId="5F58BBBB" w14:textId="77777777" w:rsidR="00C231AE" w:rsidRDefault="00C231AE"/>
    <w:p w14:paraId="3382E166" w14:textId="77777777" w:rsidR="00C231AE" w:rsidRDefault="00C231AE"/>
    <w:p w14:paraId="5051C1D5" w14:textId="57E18C53" w:rsidR="00B777B0" w:rsidRDefault="00453B82">
      <w:r>
        <w:t xml:space="preserve">For the Smith Wilson Model the following inputs have been used </w:t>
      </w:r>
    </w:p>
    <w:p w14:paraId="5051C1D6" w14:textId="77777777" w:rsidR="00B777B0" w:rsidRDefault="0045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Last Liquid point of 30 years; </w:t>
      </w:r>
    </w:p>
    <w:p w14:paraId="5051C1D7" w14:textId="0B8E3165" w:rsidR="00B777B0" w:rsidRDefault="0045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Ultimate Forward Rate of 1</w:t>
      </w:r>
      <w:r w:rsidR="00075992">
        <w:rPr>
          <w:color w:val="000000"/>
        </w:rPr>
        <w:t>8.</w:t>
      </w:r>
      <w:r w:rsidR="0097176F">
        <w:rPr>
          <w:color w:val="000000"/>
        </w:rPr>
        <w:t>45</w:t>
      </w:r>
      <w:r>
        <w:rPr>
          <w:color w:val="000000"/>
        </w:rPr>
        <w:t xml:space="preserve">%; and </w:t>
      </w:r>
    </w:p>
    <w:p w14:paraId="5051C1D8" w14:textId="77777777" w:rsidR="00B777B0" w:rsidRDefault="0045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minimum alpha of 3.24</w:t>
      </w:r>
    </w:p>
    <w:p w14:paraId="5051C1D9" w14:textId="77777777" w:rsidR="00B777B0" w:rsidRDefault="00453B82">
      <w:r>
        <w:t xml:space="preserve">Further details of the overall methodology document can be found at </w:t>
      </w:r>
      <w:hyperlink r:id="rId12">
        <w:r>
          <w:rPr>
            <w:color w:val="0000FF"/>
            <w:u w:val="single"/>
          </w:rPr>
          <w:t>IFRS 17 Discount Rate Methodology</w:t>
        </w:r>
      </w:hyperlink>
      <w:r>
        <w:t xml:space="preserve"> and details of earlier months are available at </w:t>
      </w:r>
      <w:hyperlink r:id="rId13">
        <w:r>
          <w:rPr>
            <w:color w:val="0000FF"/>
            <w:u w:val="single"/>
          </w:rPr>
          <w:t>News – NAS (actuaries.org.ng)</w:t>
        </w:r>
      </w:hyperlink>
      <w:r>
        <w:t>.</w:t>
      </w:r>
    </w:p>
    <w:p w14:paraId="5051C1DA" w14:textId="77777777" w:rsidR="00B777B0" w:rsidRDefault="00B777B0">
      <w:pPr>
        <w:sectPr w:rsidR="00B777B0" w:rsidSect="00944BB1">
          <w:pgSz w:w="11906" w:h="16838"/>
          <w:pgMar w:top="1440" w:right="851" w:bottom="1440" w:left="1440" w:header="708" w:footer="708" w:gutter="0"/>
          <w:cols w:space="720"/>
        </w:sectPr>
      </w:pPr>
    </w:p>
    <w:p w14:paraId="5051C1DB" w14:textId="77777777" w:rsidR="00B777B0" w:rsidRDefault="00453B82">
      <w:r>
        <w:lastRenderedPageBreak/>
        <w:t>The following are graphs of the risk-free spot rates curves for</w:t>
      </w:r>
    </w:p>
    <w:p w14:paraId="5051C1DC" w14:textId="458BC090" w:rsidR="00B777B0" w:rsidRDefault="00AA02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April</w:t>
      </w:r>
      <w:r w:rsidR="00FA11D4">
        <w:t xml:space="preserve"> </w:t>
      </w:r>
      <w:r w:rsidR="00453B82">
        <w:t>2024</w:t>
      </w:r>
    </w:p>
    <w:p w14:paraId="5051C1DD" w14:textId="72810657" w:rsidR="00B777B0" w:rsidRDefault="00AA02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March</w:t>
      </w:r>
      <w:r w:rsidR="00453B82">
        <w:t xml:space="preserve"> 2024</w:t>
      </w:r>
      <w:r w:rsidR="00FA11D4">
        <w:t xml:space="preserve"> and </w:t>
      </w:r>
      <w:r>
        <w:t>April</w:t>
      </w:r>
      <w:r w:rsidR="00FA11D4">
        <w:t xml:space="preserve"> 2024</w:t>
      </w:r>
    </w:p>
    <w:p w14:paraId="5051C1DE" w14:textId="4AC02734" w:rsidR="00B777B0" w:rsidRDefault="00453B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December 2023</w:t>
      </w:r>
      <w:r w:rsidR="00AA02AB">
        <w:t>,</w:t>
      </w:r>
      <w:r w:rsidR="002F1D73">
        <w:t xml:space="preserve"> </w:t>
      </w:r>
      <w:r w:rsidR="006D3E97">
        <w:t xml:space="preserve">March </w:t>
      </w:r>
      <w:r w:rsidR="002F1D73">
        <w:t>2024</w:t>
      </w:r>
      <w:r w:rsidR="00AA02AB">
        <w:t xml:space="preserve"> and April 2024</w:t>
      </w:r>
    </w:p>
    <w:p w14:paraId="5051C1DF" w14:textId="77777777" w:rsidR="00B777B0" w:rsidRDefault="00B777B0">
      <w:pPr>
        <w:pBdr>
          <w:top w:val="nil"/>
          <w:left w:val="nil"/>
          <w:bottom w:val="nil"/>
          <w:right w:val="nil"/>
          <w:between w:val="nil"/>
        </w:pBdr>
      </w:pPr>
    </w:p>
    <w:p w14:paraId="3C93F8F0" w14:textId="77777777" w:rsidR="000A7F28" w:rsidRDefault="000A7F28">
      <w:pPr>
        <w:pBdr>
          <w:top w:val="nil"/>
          <w:left w:val="nil"/>
          <w:bottom w:val="nil"/>
          <w:right w:val="nil"/>
          <w:between w:val="nil"/>
        </w:pBdr>
      </w:pPr>
    </w:p>
    <w:p w14:paraId="459E1F66" w14:textId="35DA21E6" w:rsidR="000D072D" w:rsidRDefault="000D072D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2AFAF728" wp14:editId="2B5DC77B">
            <wp:extent cx="3952875" cy="2076644"/>
            <wp:effectExtent l="0" t="0" r="0" b="0"/>
            <wp:docPr id="5782029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04" cy="2084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5685">
        <w:t xml:space="preserve"> </w:t>
      </w:r>
      <w:r w:rsidR="005946FE">
        <w:t xml:space="preserve">  </w:t>
      </w:r>
      <w:r w:rsidR="00CA5685">
        <w:rPr>
          <w:noProof/>
        </w:rPr>
        <w:drawing>
          <wp:inline distT="0" distB="0" distL="0" distR="0" wp14:anchorId="4ECC6B13" wp14:editId="0D513058">
            <wp:extent cx="3955084" cy="2076171"/>
            <wp:effectExtent l="0" t="0" r="7620" b="635"/>
            <wp:docPr id="10278030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14" cy="208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0EB77" w14:textId="77777777" w:rsidR="005946FE" w:rsidRDefault="005946FE">
      <w:pPr>
        <w:pBdr>
          <w:top w:val="nil"/>
          <w:left w:val="nil"/>
          <w:bottom w:val="nil"/>
          <w:right w:val="nil"/>
          <w:between w:val="nil"/>
        </w:pBdr>
      </w:pPr>
    </w:p>
    <w:p w14:paraId="12EA0E23" w14:textId="191321E6" w:rsidR="000A7F28" w:rsidRDefault="005946FE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 wp14:anchorId="5D11900B" wp14:editId="0C5340AF">
            <wp:extent cx="3943350" cy="2071640"/>
            <wp:effectExtent l="0" t="0" r="0" b="5080"/>
            <wp:docPr id="10664959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88" cy="2078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FF40C" w14:textId="5BA3DD4D" w:rsidR="003A2B7F" w:rsidRDefault="003A2B7F">
      <w:pPr>
        <w:pBdr>
          <w:top w:val="nil"/>
          <w:left w:val="nil"/>
          <w:bottom w:val="nil"/>
          <w:right w:val="nil"/>
          <w:between w:val="nil"/>
        </w:pBdr>
      </w:pPr>
    </w:p>
    <w:p w14:paraId="5051C1E5" w14:textId="2DD9E6C7" w:rsidR="00B777B0" w:rsidRDefault="00B777B0" w:rsidP="009534C8">
      <w:pPr>
        <w:pBdr>
          <w:top w:val="nil"/>
          <w:left w:val="nil"/>
          <w:bottom w:val="nil"/>
          <w:right w:val="nil"/>
          <w:between w:val="nil"/>
        </w:pBdr>
      </w:pPr>
    </w:p>
    <w:sectPr w:rsidR="00B777B0">
      <w:pgSz w:w="16838" w:h="11906" w:orient="landscape"/>
      <w:pgMar w:top="851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094A2" w14:textId="77777777" w:rsidR="00944BB1" w:rsidRDefault="00944BB1">
      <w:r>
        <w:separator/>
      </w:r>
    </w:p>
  </w:endnote>
  <w:endnote w:type="continuationSeparator" w:id="0">
    <w:p w14:paraId="7BEDF820" w14:textId="77777777" w:rsidR="00944BB1" w:rsidRDefault="0094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C1F2" w14:textId="25957DC9" w:rsidR="00B777B0" w:rsidRDefault="00453B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56814">
      <w:rPr>
        <w:noProof/>
        <w:color w:val="000000"/>
      </w:rPr>
      <w:t>1</w:t>
    </w:r>
    <w:r>
      <w:rPr>
        <w:color w:val="000000"/>
      </w:rPr>
      <w:fldChar w:fldCharType="end"/>
    </w:r>
  </w:p>
  <w:p w14:paraId="5051C1F3" w14:textId="73075D5C" w:rsidR="00B777B0" w:rsidRDefault="00453B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56814">
      <w:rPr>
        <w:noProof/>
        <w:color w:val="000000"/>
      </w:rPr>
      <w:t>1</w:t>
    </w:r>
    <w:r>
      <w:rPr>
        <w:color w:val="000000"/>
      </w:rPr>
      <w:fldChar w:fldCharType="end"/>
    </w:r>
  </w:p>
  <w:p w14:paraId="5051C1F4" w14:textId="77777777" w:rsidR="00B777B0" w:rsidRDefault="00B777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1C1F5" w14:textId="0943F2BB" w:rsidR="00B777B0" w:rsidRDefault="00453B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566E">
      <w:rPr>
        <w:noProof/>
        <w:color w:val="000000"/>
      </w:rPr>
      <w:t>1</w:t>
    </w:r>
    <w:r>
      <w:rPr>
        <w:color w:val="000000"/>
      </w:rPr>
      <w:fldChar w:fldCharType="end"/>
    </w:r>
  </w:p>
  <w:p w14:paraId="5051C1F6" w14:textId="56F61C2F" w:rsidR="00B777B0" w:rsidRDefault="00453B82" w:rsidP="00BB53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214"/>
      </w:tabs>
      <w:ind w:right="360"/>
      <w:rPr>
        <w:color w:val="000000"/>
      </w:rPr>
    </w:pPr>
    <w:r>
      <w:rPr>
        <w:color w:val="000000"/>
      </w:rPr>
      <w:t xml:space="preserve">Nigeria Actuarial Society – Risk-free rate curve explanation – </w:t>
    </w:r>
    <w:r w:rsidR="00856814">
      <w:rPr>
        <w:color w:val="000000"/>
      </w:rPr>
      <w:t>April</w:t>
    </w:r>
    <w:r w:rsidR="00FA502B">
      <w:rPr>
        <w:color w:val="000000"/>
      </w:rPr>
      <w:t xml:space="preserve"> </w:t>
    </w:r>
    <w:r>
      <w:rPr>
        <w:color w:val="000000"/>
      </w:rPr>
      <w:t>2024</w:t>
    </w:r>
  </w:p>
  <w:p w14:paraId="5051C1F7" w14:textId="77777777" w:rsidR="00B777B0" w:rsidRDefault="00B777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18B37" w14:textId="77777777" w:rsidR="00944BB1" w:rsidRDefault="00944BB1">
      <w:r>
        <w:separator/>
      </w:r>
    </w:p>
  </w:footnote>
  <w:footnote w:type="continuationSeparator" w:id="0">
    <w:p w14:paraId="204337DF" w14:textId="77777777" w:rsidR="00944BB1" w:rsidRDefault="00944BB1">
      <w:r>
        <w:continuationSeparator/>
      </w:r>
    </w:p>
  </w:footnote>
  <w:footnote w:id="1">
    <w:p w14:paraId="4F4BA7C0" w14:textId="1BC7C73A" w:rsidR="001E714D" w:rsidRDefault="001E714D">
      <w:pPr>
        <w:pStyle w:val="FootnoteText"/>
      </w:pPr>
      <w:r>
        <w:rPr>
          <w:rStyle w:val="FootnoteReference"/>
        </w:rPr>
        <w:footnoteRef/>
      </w:r>
      <w:r>
        <w:t xml:space="preserve"> This is the weighted average based on allocated amount</w:t>
      </w:r>
    </w:p>
  </w:footnote>
  <w:footnote w:id="2">
    <w:p w14:paraId="0008A8B4" w14:textId="35F5C957" w:rsidR="00C9558A" w:rsidRDefault="00C95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Liquidity according to market trades have been determined by the provider of the data</w:t>
      </w:r>
    </w:p>
  </w:footnote>
  <w:footnote w:id="3">
    <w:p w14:paraId="4047CC19" w14:textId="40281C10" w:rsidR="001D1B44" w:rsidRDefault="001D1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Liquidity according to market trades have been determined by the provider of the data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74D15"/>
    <w:multiLevelType w:val="multilevel"/>
    <w:tmpl w:val="D53636E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C3688A"/>
    <w:multiLevelType w:val="hybridMultilevel"/>
    <w:tmpl w:val="448647BA"/>
    <w:lvl w:ilvl="0" w:tplc="2B302B8E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2E1D"/>
    <w:multiLevelType w:val="multilevel"/>
    <w:tmpl w:val="7C541156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36605309">
    <w:abstractNumId w:val="2"/>
  </w:num>
  <w:num w:numId="2" w16cid:durableId="1788697801">
    <w:abstractNumId w:val="0"/>
  </w:num>
  <w:num w:numId="3" w16cid:durableId="25494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B0"/>
    <w:rsid w:val="000109BA"/>
    <w:rsid w:val="00051083"/>
    <w:rsid w:val="00075992"/>
    <w:rsid w:val="000A4569"/>
    <w:rsid w:val="000A5270"/>
    <w:rsid w:val="000A7F28"/>
    <w:rsid w:val="000D072D"/>
    <w:rsid w:val="000E015A"/>
    <w:rsid w:val="000E58D6"/>
    <w:rsid w:val="0012566E"/>
    <w:rsid w:val="0013436F"/>
    <w:rsid w:val="00150FC8"/>
    <w:rsid w:val="00153416"/>
    <w:rsid w:val="00162721"/>
    <w:rsid w:val="00171BB7"/>
    <w:rsid w:val="001830EA"/>
    <w:rsid w:val="0019712E"/>
    <w:rsid w:val="001B6418"/>
    <w:rsid w:val="001C1DB2"/>
    <w:rsid w:val="001D1566"/>
    <w:rsid w:val="001D1B44"/>
    <w:rsid w:val="001E714D"/>
    <w:rsid w:val="001F26B5"/>
    <w:rsid w:val="001F365F"/>
    <w:rsid w:val="002028E5"/>
    <w:rsid w:val="00237A8D"/>
    <w:rsid w:val="0024203B"/>
    <w:rsid w:val="0024295C"/>
    <w:rsid w:val="00257A61"/>
    <w:rsid w:val="00266E36"/>
    <w:rsid w:val="00280C1B"/>
    <w:rsid w:val="002834B3"/>
    <w:rsid w:val="002A32F7"/>
    <w:rsid w:val="002B0D48"/>
    <w:rsid w:val="002B6FA9"/>
    <w:rsid w:val="002E6460"/>
    <w:rsid w:val="002F1D73"/>
    <w:rsid w:val="002F4B3C"/>
    <w:rsid w:val="002F600F"/>
    <w:rsid w:val="00301BE2"/>
    <w:rsid w:val="00312C22"/>
    <w:rsid w:val="00325EFF"/>
    <w:rsid w:val="00326CD4"/>
    <w:rsid w:val="00337DDD"/>
    <w:rsid w:val="003468D2"/>
    <w:rsid w:val="0038424D"/>
    <w:rsid w:val="00394DDA"/>
    <w:rsid w:val="003A2B7F"/>
    <w:rsid w:val="003A48BF"/>
    <w:rsid w:val="003B4C5E"/>
    <w:rsid w:val="003D415A"/>
    <w:rsid w:val="003F6BD9"/>
    <w:rsid w:val="00415420"/>
    <w:rsid w:val="004371C7"/>
    <w:rsid w:val="00453B82"/>
    <w:rsid w:val="00470E45"/>
    <w:rsid w:val="004753B7"/>
    <w:rsid w:val="0049317B"/>
    <w:rsid w:val="00496087"/>
    <w:rsid w:val="00497B16"/>
    <w:rsid w:val="004A1797"/>
    <w:rsid w:val="004A769A"/>
    <w:rsid w:val="004B034E"/>
    <w:rsid w:val="004F0256"/>
    <w:rsid w:val="004F74E9"/>
    <w:rsid w:val="005123DC"/>
    <w:rsid w:val="00571680"/>
    <w:rsid w:val="005946FE"/>
    <w:rsid w:val="0059557D"/>
    <w:rsid w:val="005A362C"/>
    <w:rsid w:val="005C2EB6"/>
    <w:rsid w:val="005D4262"/>
    <w:rsid w:val="006029B3"/>
    <w:rsid w:val="0061649A"/>
    <w:rsid w:val="0062394A"/>
    <w:rsid w:val="006335E1"/>
    <w:rsid w:val="006965CE"/>
    <w:rsid w:val="006A7150"/>
    <w:rsid w:val="006B3D98"/>
    <w:rsid w:val="006D17A1"/>
    <w:rsid w:val="006D3E97"/>
    <w:rsid w:val="00720750"/>
    <w:rsid w:val="007307AD"/>
    <w:rsid w:val="007367EE"/>
    <w:rsid w:val="00761AAD"/>
    <w:rsid w:val="00782908"/>
    <w:rsid w:val="007836CE"/>
    <w:rsid w:val="007864CE"/>
    <w:rsid w:val="00787CA0"/>
    <w:rsid w:val="007C6ABC"/>
    <w:rsid w:val="00826AB5"/>
    <w:rsid w:val="00844B5F"/>
    <w:rsid w:val="00847A34"/>
    <w:rsid w:val="00856406"/>
    <w:rsid w:val="00856814"/>
    <w:rsid w:val="00875B8D"/>
    <w:rsid w:val="008B66DF"/>
    <w:rsid w:val="008D22A5"/>
    <w:rsid w:val="008D3455"/>
    <w:rsid w:val="00930170"/>
    <w:rsid w:val="00944BB1"/>
    <w:rsid w:val="009534C8"/>
    <w:rsid w:val="0097176F"/>
    <w:rsid w:val="009A1796"/>
    <w:rsid w:val="009D13A8"/>
    <w:rsid w:val="009E7593"/>
    <w:rsid w:val="009F705A"/>
    <w:rsid w:val="009F757D"/>
    <w:rsid w:val="00A130B9"/>
    <w:rsid w:val="00A277C1"/>
    <w:rsid w:val="00A36EB5"/>
    <w:rsid w:val="00A46D6E"/>
    <w:rsid w:val="00A55470"/>
    <w:rsid w:val="00A9234A"/>
    <w:rsid w:val="00AA02AB"/>
    <w:rsid w:val="00AA6829"/>
    <w:rsid w:val="00AD6ED5"/>
    <w:rsid w:val="00B03CD3"/>
    <w:rsid w:val="00B263B9"/>
    <w:rsid w:val="00B36FD8"/>
    <w:rsid w:val="00B4351C"/>
    <w:rsid w:val="00B45CDE"/>
    <w:rsid w:val="00B641A6"/>
    <w:rsid w:val="00B7511E"/>
    <w:rsid w:val="00B777B0"/>
    <w:rsid w:val="00BA28D9"/>
    <w:rsid w:val="00BA2CAC"/>
    <w:rsid w:val="00BB15DA"/>
    <w:rsid w:val="00BB5393"/>
    <w:rsid w:val="00BC29A6"/>
    <w:rsid w:val="00BC6DAC"/>
    <w:rsid w:val="00BD4E66"/>
    <w:rsid w:val="00BF3A61"/>
    <w:rsid w:val="00BF3D10"/>
    <w:rsid w:val="00BF7986"/>
    <w:rsid w:val="00C231AE"/>
    <w:rsid w:val="00C32524"/>
    <w:rsid w:val="00C3596D"/>
    <w:rsid w:val="00C6226C"/>
    <w:rsid w:val="00C80AFF"/>
    <w:rsid w:val="00C9558A"/>
    <w:rsid w:val="00CA5685"/>
    <w:rsid w:val="00CE0131"/>
    <w:rsid w:val="00CF27FB"/>
    <w:rsid w:val="00CF4471"/>
    <w:rsid w:val="00CF7070"/>
    <w:rsid w:val="00D04B7F"/>
    <w:rsid w:val="00D1314F"/>
    <w:rsid w:val="00D136F3"/>
    <w:rsid w:val="00D202D0"/>
    <w:rsid w:val="00D2139B"/>
    <w:rsid w:val="00D24B4C"/>
    <w:rsid w:val="00D625D6"/>
    <w:rsid w:val="00D821D4"/>
    <w:rsid w:val="00D964F2"/>
    <w:rsid w:val="00DA3521"/>
    <w:rsid w:val="00DB3147"/>
    <w:rsid w:val="00DB7B03"/>
    <w:rsid w:val="00DE75E7"/>
    <w:rsid w:val="00DF3A8A"/>
    <w:rsid w:val="00E13DFB"/>
    <w:rsid w:val="00E2504D"/>
    <w:rsid w:val="00E63F26"/>
    <w:rsid w:val="00E77AA3"/>
    <w:rsid w:val="00E80AE9"/>
    <w:rsid w:val="00E838C9"/>
    <w:rsid w:val="00EF2254"/>
    <w:rsid w:val="00F055B1"/>
    <w:rsid w:val="00F10199"/>
    <w:rsid w:val="00F1352C"/>
    <w:rsid w:val="00F3351F"/>
    <w:rsid w:val="00F33C94"/>
    <w:rsid w:val="00F367BB"/>
    <w:rsid w:val="00F428C4"/>
    <w:rsid w:val="00F527E3"/>
    <w:rsid w:val="00F53078"/>
    <w:rsid w:val="00F5527F"/>
    <w:rsid w:val="00F613BA"/>
    <w:rsid w:val="00F650C6"/>
    <w:rsid w:val="00F702A2"/>
    <w:rsid w:val="00F74E52"/>
    <w:rsid w:val="00F848BD"/>
    <w:rsid w:val="00F95B26"/>
    <w:rsid w:val="00FA11D4"/>
    <w:rsid w:val="00FA502B"/>
    <w:rsid w:val="00FC6B63"/>
    <w:rsid w:val="00FC7CA9"/>
    <w:rsid w:val="00FD3A4F"/>
    <w:rsid w:val="00FD4B62"/>
    <w:rsid w:val="00FF2AB8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051BFC5"/>
  <w15:docId w15:val="{A891E144-2F12-4408-AAFA-95C5A163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1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6D9"/>
  </w:style>
  <w:style w:type="paragraph" w:styleId="Footer">
    <w:name w:val="footer"/>
    <w:basedOn w:val="Normal"/>
    <w:link w:val="FooterChar"/>
    <w:uiPriority w:val="99"/>
    <w:unhideWhenUsed/>
    <w:rsid w:val="0061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6D9"/>
  </w:style>
  <w:style w:type="paragraph" w:styleId="ListParagraph">
    <w:name w:val="List Paragraph"/>
    <w:basedOn w:val="Normal"/>
    <w:uiPriority w:val="34"/>
    <w:qFormat/>
    <w:rsid w:val="002735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7F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F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7F78"/>
    <w:rPr>
      <w:vertAlign w:val="superscript"/>
    </w:rPr>
  </w:style>
  <w:style w:type="table" w:styleId="TableGrid">
    <w:name w:val="Table Grid"/>
    <w:basedOn w:val="TableNormal"/>
    <w:uiPriority w:val="39"/>
    <w:rsid w:val="009B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856F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414E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46AD0"/>
  </w:style>
  <w:style w:type="paragraph" w:styleId="EndnoteText">
    <w:name w:val="endnote text"/>
    <w:basedOn w:val="Normal"/>
    <w:link w:val="EndnoteTextChar"/>
    <w:uiPriority w:val="99"/>
    <w:semiHidden/>
    <w:unhideWhenUsed/>
    <w:rsid w:val="0094626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26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77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0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FCD"/>
    <w:rPr>
      <w:color w:val="954F72" w:themeColor="followedHyperlink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ctuaries.org.ng/category/news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ySnGwrEcwSWG-0sR34fcBlguOXl8oDec/view?usp=drive_li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gqcHIxH/eW6g5HT3SYR8yqFHDg==">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38A1B9-40F9-4615-A7DB-ACEFE00E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Yeside K</cp:lastModifiedBy>
  <cp:revision>184</cp:revision>
  <cp:lastPrinted>2024-04-02T11:45:00Z</cp:lastPrinted>
  <dcterms:created xsi:type="dcterms:W3CDTF">2024-03-01T08:25:00Z</dcterms:created>
  <dcterms:modified xsi:type="dcterms:W3CDTF">2024-05-02T13:42:00Z</dcterms:modified>
</cp:coreProperties>
</file>